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9F69AE9" w:rsidR="00F92268" w:rsidRPr="00FF66BF" w:rsidRDefault="009D792D" w:rsidP="00F246C7">
            <w:pPr>
              <w:pStyle w:val="RefTableHeader"/>
            </w:pPr>
            <w:r w:rsidRPr="009D792D">
              <w:t>2803-A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7124660" w:rsidR="004B15BB" w:rsidRPr="009D792D" w:rsidRDefault="009D792D" w:rsidP="007E5C16">
      <w:pPr>
        <w:pStyle w:val="Heading1"/>
      </w:pPr>
      <w:r w:rsidRPr="009D792D">
        <w:t>Specialty Guideline Management</w:t>
      </w:r>
      <w:r w:rsidR="008C54D9" w:rsidRPr="00BD1CC1">
        <w:br/>
      </w:r>
      <w:r w:rsidRPr="009D792D">
        <w:t>Firdapse</w:t>
      </w:r>
    </w:p>
    <w:p w14:paraId="78861C92" w14:textId="4DEE1CA2" w:rsidR="00203468" w:rsidRPr="00BD1CC1" w:rsidRDefault="00C64534" w:rsidP="008E0F0D">
      <w:pPr>
        <w:pStyle w:val="Heading2"/>
      </w:pPr>
      <w:r w:rsidRPr="00BD1CC1">
        <w:t xml:space="preserve">Products Referenced by this </w:t>
      </w:r>
      <w:r w:rsidR="00501602" w:rsidRPr="00BD1CC1">
        <w:t>Document</w:t>
      </w:r>
    </w:p>
    <w:p w14:paraId="5455152B" w14:textId="42A4BC15"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B29B2" w:rsidRPr="00CB29B2">
        <w:t>Over</w:t>
      </w:r>
      <w:r w:rsidR="000C2E8D">
        <w:t xml:space="preserve"> </w:t>
      </w:r>
      <w:r w:rsidR="00CB29B2" w:rsidRPr="00CB29B2">
        <w:t>the</w:t>
      </w:r>
      <w:r w:rsidR="000C2E8D">
        <w:t xml:space="preserve"> </w:t>
      </w:r>
      <w:r w:rsidR="00CB29B2" w:rsidRPr="00CB29B2">
        <w:t>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22894578" w:rsidR="005B4D7C" w:rsidRPr="00BD1CC1" w:rsidRDefault="009D792D" w:rsidP="00264B6E">
            <w:pPr>
              <w:pStyle w:val="TableDataUnpadded"/>
            </w:pPr>
            <w:r w:rsidRPr="009D792D">
              <w:t>Firdapse</w:t>
            </w:r>
          </w:p>
        </w:tc>
        <w:tc>
          <w:tcPr>
            <w:tcW w:w="5595" w:type="dxa"/>
          </w:tcPr>
          <w:p w14:paraId="1A09710D" w14:textId="2B24A8DA" w:rsidR="005B4D7C" w:rsidRPr="00BD1CC1" w:rsidRDefault="00853823" w:rsidP="00264B6E">
            <w:pPr>
              <w:pStyle w:val="TableDataUnpadded"/>
            </w:pPr>
            <w:r w:rsidRPr="00853823">
              <w:t>amifampridine</w:t>
            </w:r>
          </w:p>
        </w:tc>
      </w:tr>
    </w:tbl>
    <w:p w14:paraId="14CE6108" w14:textId="4DE41E7B" w:rsidR="00FC1AAD" w:rsidRDefault="00ED052F" w:rsidP="00AA2A94">
      <w:pPr>
        <w:pStyle w:val="Heading2"/>
        <w:tabs>
          <w:tab w:val="left" w:pos="9540"/>
        </w:tabs>
      </w:pPr>
      <w:r>
        <w:t>Indications</w:t>
      </w:r>
    </w:p>
    <w:p w14:paraId="73CD43F7" w14:textId="77777777" w:rsidR="00853823" w:rsidRPr="00853823" w:rsidRDefault="00853823" w:rsidP="00853823">
      <w:pPr>
        <w:pStyle w:val="BodyText"/>
      </w:pPr>
      <w:r w:rsidRPr="00853823">
        <w:t>The indications below including FDA-approved indications and compendial uses are considered a covered benefit provided that all the approval criteria are met and the member has no exclusions to the prescribed therapy.</w:t>
      </w:r>
    </w:p>
    <w:p w14:paraId="134B5687" w14:textId="42576ADD" w:rsidR="00ED052F" w:rsidRPr="00BD1CC1" w:rsidRDefault="00ED052F" w:rsidP="00ED052F">
      <w:pPr>
        <w:pStyle w:val="Heading3"/>
        <w:keepNext w:val="0"/>
      </w:pPr>
      <w:r w:rsidRPr="00BD1CC1">
        <w:t>FDA-approved Indications</w:t>
      </w:r>
    </w:p>
    <w:p w14:paraId="4C434745" w14:textId="0D396A04" w:rsidR="00ED052F" w:rsidRDefault="00853823" w:rsidP="00ED052F">
      <w:pPr>
        <w:pStyle w:val="BodyText"/>
      </w:pPr>
      <w:r w:rsidRPr="00853823">
        <w:t>Firdapse is indicated for the treatment of Lambert-Eaton myasthenic syndrome (LEMS) in adults and pediatric patients 6 years of age and older.</w:t>
      </w:r>
    </w:p>
    <w:p w14:paraId="2CC0F9E7" w14:textId="023FEFE8" w:rsidR="00853823" w:rsidRDefault="00853823" w:rsidP="002E5DBA">
      <w:pPr>
        <w:pStyle w:val="BodyText"/>
      </w:pPr>
      <w:r w:rsidRPr="008D1D8B">
        <w:t xml:space="preserve">All other indications are considered experimental/investigational and </w:t>
      </w:r>
      <w:r>
        <w:rPr>
          <w:rStyle w:val="normaltextrun"/>
          <w:rFonts w:ascii="Arial" w:hAnsi="Arial"/>
          <w:color w:val="000000"/>
          <w:sz w:val="20"/>
          <w:szCs w:val="20"/>
          <w:shd w:val="clear" w:color="auto" w:fill="FFFFFF"/>
        </w:rPr>
        <w:t>not medically necessary.</w:t>
      </w:r>
    </w:p>
    <w:p w14:paraId="36381B6D" w14:textId="04A9D520" w:rsidR="000D2496" w:rsidRPr="00BD1CC1" w:rsidRDefault="000D2496" w:rsidP="000D2496">
      <w:pPr>
        <w:pStyle w:val="Heading2"/>
      </w:pPr>
      <w:r w:rsidRPr="00BD1CC1">
        <w:t>Documentation</w:t>
      </w:r>
    </w:p>
    <w:p w14:paraId="0C88BEC4" w14:textId="77777777" w:rsidR="00853823" w:rsidRPr="00853823" w:rsidRDefault="00853823" w:rsidP="002E5DBA">
      <w:pPr>
        <w:pStyle w:val="BodyText"/>
      </w:pPr>
      <w:r w:rsidRPr="00853823">
        <w:t xml:space="preserve">Submission of </w:t>
      </w:r>
      <w:r w:rsidRPr="002E5DBA">
        <w:t>either</w:t>
      </w:r>
      <w:r w:rsidRPr="00853823">
        <w:t xml:space="preserve"> of the following diagnostic tests is necessary to initiate the prior authorization review:</w:t>
      </w:r>
    </w:p>
    <w:p w14:paraId="116BD575" w14:textId="77777777" w:rsidR="00853823" w:rsidRPr="00853823" w:rsidRDefault="00853823" w:rsidP="00853823">
      <w:pPr>
        <w:pStyle w:val="ListParagraph"/>
      </w:pPr>
      <w:r w:rsidRPr="00853823">
        <w:t>Electromyography (EMG)</w:t>
      </w:r>
    </w:p>
    <w:p w14:paraId="2180ED6E" w14:textId="70E898DB" w:rsidR="000D2496" w:rsidRDefault="00853823" w:rsidP="00853823">
      <w:pPr>
        <w:pStyle w:val="ListParagraph"/>
      </w:pPr>
      <w:r w:rsidRPr="00853823">
        <w:t>Anti-P/Q type voltage-gated calcium channel antibody test</w:t>
      </w:r>
    </w:p>
    <w:p w14:paraId="65A12794" w14:textId="591D9446" w:rsidR="000D5101" w:rsidRPr="00AA1E6A" w:rsidRDefault="004715CD" w:rsidP="00E050E1">
      <w:pPr>
        <w:pStyle w:val="Heading2"/>
      </w:pPr>
      <w:r w:rsidRPr="00BD1CC1">
        <w:lastRenderedPageBreak/>
        <w:t>Excl</w:t>
      </w:r>
      <w:r w:rsidRPr="00627192">
        <w:t>u</w:t>
      </w:r>
      <w:r w:rsidRPr="00BD1CC1">
        <w:t>sions</w:t>
      </w:r>
    </w:p>
    <w:p w14:paraId="79C47276" w14:textId="6F1DEE69" w:rsidR="00C75C02" w:rsidRPr="008B4F64" w:rsidRDefault="00853823" w:rsidP="002E5DBA">
      <w:pPr>
        <w:pStyle w:val="BodyText"/>
        <w:rPr>
          <w:vertAlign w:val="superscript"/>
        </w:rPr>
      </w:pPr>
      <w:r w:rsidRPr="00853823">
        <w:t>Coverage will not be provided for members with a history of seizures.</w:t>
      </w:r>
    </w:p>
    <w:p w14:paraId="50A38FBA" w14:textId="2E0C2CCB" w:rsidR="00FE0C63" w:rsidRDefault="00685107" w:rsidP="00E050E1">
      <w:pPr>
        <w:pStyle w:val="Heading2"/>
      </w:pPr>
      <w:r>
        <w:t>Coverage Criteria</w:t>
      </w:r>
    </w:p>
    <w:p w14:paraId="180CFA62" w14:textId="1CC93C60" w:rsidR="009B3B2B" w:rsidRDefault="009B3B2B" w:rsidP="009B3B2B">
      <w:pPr>
        <w:pStyle w:val="Heading3"/>
        <w:rPr>
          <w:vertAlign w:val="superscript"/>
        </w:rPr>
      </w:pPr>
      <w:r w:rsidRPr="009B3B2B">
        <w:t xml:space="preserve">Lambert-Eaton </w:t>
      </w:r>
      <w:r w:rsidR="009D747A">
        <w:t>M</w:t>
      </w:r>
      <w:r w:rsidRPr="009B3B2B">
        <w:t xml:space="preserve">yasthenic </w:t>
      </w:r>
      <w:r w:rsidR="009D747A">
        <w:t>S</w:t>
      </w:r>
      <w:r w:rsidRPr="009B3B2B">
        <w:t>yndrome (LEMS)</w:t>
      </w:r>
    </w:p>
    <w:p w14:paraId="79682515" w14:textId="688BC05E" w:rsidR="009B3B2B" w:rsidRDefault="009B3B2B" w:rsidP="009B3B2B">
      <w:pPr>
        <w:pStyle w:val="BodyText"/>
      </w:pPr>
      <w:r w:rsidRPr="009B3B2B">
        <w:t>Authorization of 6 months may be granted for treatment of Lambert-Eaton myasthenic syndrome (LEMS) when all of the following criteria are met:</w:t>
      </w:r>
    </w:p>
    <w:p w14:paraId="475CC8C1" w14:textId="77777777" w:rsidR="009B3B2B" w:rsidRDefault="009B3B2B" w:rsidP="009B3B2B">
      <w:pPr>
        <w:pStyle w:val="ListParagraph"/>
      </w:pPr>
      <w:r w:rsidRPr="009B3B2B">
        <w:t>Diagnosis is confirmed by either of the following:</w:t>
      </w:r>
    </w:p>
    <w:p w14:paraId="55C1EF6A" w14:textId="6C4DFBD0" w:rsidR="009B3B2B" w:rsidRDefault="009B3B2B" w:rsidP="009B3B2B">
      <w:pPr>
        <w:pStyle w:val="ListParagraph"/>
        <w:numPr>
          <w:ilvl w:val="1"/>
          <w:numId w:val="21"/>
        </w:numPr>
      </w:pPr>
      <w:r w:rsidRPr="009B3B2B">
        <w:t>EMG showing compound muscle action potential (CMAP) that increased at least 2-fold after maximum voluntary contraction of the tested muscle.</w:t>
      </w:r>
    </w:p>
    <w:p w14:paraId="64DC9418" w14:textId="5E025340" w:rsidR="009B3B2B" w:rsidRPr="009B3B2B" w:rsidRDefault="009B3B2B" w:rsidP="009B3B2B">
      <w:pPr>
        <w:pStyle w:val="ListParagraph"/>
        <w:numPr>
          <w:ilvl w:val="1"/>
          <w:numId w:val="21"/>
        </w:numPr>
      </w:pPr>
      <w:r w:rsidRPr="009B3B2B">
        <w:t>A positive anti-P/Q type voltage-gated calcium channel antibody test.</w:t>
      </w:r>
    </w:p>
    <w:p w14:paraId="16F74EBA" w14:textId="77777777" w:rsidR="009B3B2B" w:rsidRPr="009B3B2B" w:rsidRDefault="009B3B2B" w:rsidP="009B3B2B">
      <w:pPr>
        <w:pStyle w:val="ListParagraph"/>
      </w:pPr>
      <w:r w:rsidRPr="009B3B2B">
        <w:t>Member has proximal muscle weakness.</w:t>
      </w:r>
    </w:p>
    <w:p w14:paraId="2893F08A" w14:textId="77777777" w:rsidR="009B3B2B" w:rsidRPr="00F60E7C" w:rsidRDefault="009B3B2B" w:rsidP="009B3B2B">
      <w:pPr>
        <w:pStyle w:val="ListParagraph"/>
      </w:pPr>
      <w:r w:rsidRPr="009B3B2B">
        <w:t xml:space="preserve">For treatment-naïve members, the </w:t>
      </w:r>
      <w:bookmarkStart w:id="0" w:name="OLE_LINK4"/>
      <w:r w:rsidRPr="009B3B2B">
        <w:t xml:space="preserve">Quantitative Myasthenia Gravis (QMG) score </w:t>
      </w:r>
      <w:bookmarkEnd w:id="0"/>
      <w:r w:rsidRPr="009B3B2B">
        <w:t>is at least 5.</w:t>
      </w:r>
    </w:p>
    <w:p w14:paraId="3A643EC3" w14:textId="580ABFB4" w:rsidR="00A501AC" w:rsidRPr="00BD1CC1" w:rsidRDefault="00A501AC" w:rsidP="00A501AC">
      <w:pPr>
        <w:pStyle w:val="Heading2"/>
      </w:pPr>
      <w:r w:rsidRPr="00BD1CC1">
        <w:t>Continuation of Therapy</w:t>
      </w:r>
    </w:p>
    <w:p w14:paraId="4B840A7A" w14:textId="3F78325C" w:rsidR="00693997" w:rsidRDefault="009B3B2B" w:rsidP="00706B11">
      <w:pPr>
        <w:pStyle w:val="BodyText"/>
      </w:pPr>
      <w:r w:rsidRPr="009B3B2B">
        <w:t>Authorization of 12 months may be granted for continued treatment in members requesting reauthorization for LEMS who are responding to therapy (i.e., there is stability or improvement in symptoms relative to the natural course of LEMS)</w:t>
      </w:r>
      <w:r w:rsidR="00E93E05" w:rsidRPr="00BD1CC1">
        <w:t>.</w:t>
      </w:r>
      <w:bookmarkStart w:id="1" w:name="S2.2"/>
      <w:bookmarkStart w:id="2" w:name="section-2.2"/>
      <w:bookmarkStart w:id="3" w:name="section-2.2.1"/>
      <w:bookmarkStart w:id="4" w:name="section-2.2.2"/>
      <w:bookmarkEnd w:id="1"/>
      <w:bookmarkEnd w:id="2"/>
      <w:bookmarkEnd w:id="3"/>
      <w:bookmarkEnd w:id="4"/>
    </w:p>
    <w:p w14:paraId="10DA4309" w14:textId="70CA9702" w:rsidR="00FF66BF" w:rsidRPr="008D1B34" w:rsidRDefault="00FF66BF" w:rsidP="00FF66BF">
      <w:pPr>
        <w:pStyle w:val="Heading2"/>
      </w:pPr>
      <w:r w:rsidRPr="008D1B34">
        <w:t>References</w:t>
      </w:r>
    </w:p>
    <w:p w14:paraId="0D059195" w14:textId="77777777" w:rsidR="009B3B2B" w:rsidRPr="009B3B2B" w:rsidRDefault="009B3B2B" w:rsidP="009B3B2B">
      <w:pPr>
        <w:pStyle w:val="ReferenceOrdered"/>
      </w:pPr>
      <w:r w:rsidRPr="009B3B2B">
        <w:t>Firdapse [package insert]. Coral Gables, FL: Catalyst Pharmaceuticals, Inc.; May 2024.</w:t>
      </w:r>
    </w:p>
    <w:p w14:paraId="2D1CFDF3" w14:textId="77777777" w:rsidR="009B3B2B" w:rsidRPr="009B3B2B" w:rsidRDefault="009B3B2B" w:rsidP="009B3B2B">
      <w:pPr>
        <w:pStyle w:val="ReferenceOrdered"/>
      </w:pPr>
      <w:r w:rsidRPr="009B3B2B">
        <w:t xml:space="preserve">Oh SJ, </w:t>
      </w:r>
      <w:proofErr w:type="spellStart"/>
      <w:r w:rsidRPr="009B3B2B">
        <w:t>Scherbakova</w:t>
      </w:r>
      <w:proofErr w:type="spellEnd"/>
      <w:r w:rsidRPr="009B3B2B">
        <w:t xml:space="preserve"> N, </w:t>
      </w:r>
      <w:proofErr w:type="spellStart"/>
      <w:r w:rsidRPr="009B3B2B">
        <w:t>Kostera-Pruszczyk</w:t>
      </w:r>
      <w:proofErr w:type="spellEnd"/>
      <w:r w:rsidRPr="009B3B2B">
        <w:t xml:space="preserve"> A, et al; LEMS Study Group. Amifampridine phosphate (Firdapse®) is effective and safe in a phase 3 clinical trial in LEMS. Muscle Nerve. 2016;53(5):717-25. </w:t>
      </w:r>
      <w:proofErr w:type="spellStart"/>
      <w:r w:rsidRPr="009B3B2B">
        <w:t>doi</w:t>
      </w:r>
      <w:proofErr w:type="spellEnd"/>
      <w:r w:rsidRPr="009B3B2B">
        <w:t>: 10.1002/mus.25070</w:t>
      </w:r>
    </w:p>
    <w:p w14:paraId="47E1A10C" w14:textId="4D3E7CCA" w:rsidR="00C44990" w:rsidRPr="00BB3478" w:rsidRDefault="009B3B2B" w:rsidP="00BB3478">
      <w:pPr>
        <w:pStyle w:val="ReferenceOrdered"/>
      </w:pPr>
      <w:r w:rsidRPr="009B3B2B">
        <w:t xml:space="preserve">Shieh P, Sharma K, Kohrman B, Oh SJ. Amifampridine phosphate (Firdapse) is effective in a confirmatory phase 3 clinical trial in LEMS. J Clin </w:t>
      </w:r>
      <w:proofErr w:type="spellStart"/>
      <w:r w:rsidRPr="009B3B2B">
        <w:t>Neuromuscul</w:t>
      </w:r>
      <w:proofErr w:type="spellEnd"/>
      <w:r w:rsidRPr="009B3B2B">
        <w:t xml:space="preserve"> Dis. 2019; 20(3):111-119. </w:t>
      </w:r>
      <w:proofErr w:type="spellStart"/>
      <w:r w:rsidRPr="009B3B2B">
        <w:t>doi</w:t>
      </w:r>
      <w:proofErr w:type="spellEnd"/>
      <w:r w:rsidRPr="009B3B2B">
        <w:t>: 10.1097/CND.0000000000000239</w:t>
      </w:r>
    </w:p>
    <w:sectPr w:rsidR="00C44990" w:rsidRPr="00BB3478"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2C51C" w14:textId="77777777" w:rsidR="00C564C2" w:rsidRDefault="00C564C2">
      <w:r>
        <w:separator/>
      </w:r>
    </w:p>
  </w:endnote>
  <w:endnote w:type="continuationSeparator" w:id="0">
    <w:p w14:paraId="5C82B784" w14:textId="77777777" w:rsidR="00C564C2" w:rsidRDefault="00C564C2">
      <w:r>
        <w:continuationSeparator/>
      </w:r>
    </w:p>
  </w:endnote>
  <w:endnote w:type="continuationNotice" w:id="1">
    <w:p w14:paraId="7D998788" w14:textId="77777777" w:rsidR="00C564C2" w:rsidRDefault="00C56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26410D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C00A1" w:rsidRPr="007C00A1">
      <w:rPr>
        <w:rFonts w:cs="Arial"/>
        <w:noProof/>
        <w:sz w:val="16"/>
        <w:szCs w:val="16"/>
      </w:rPr>
      <w:t>Firdapse</w:t>
    </w:r>
    <w:r w:rsidR="007C00A1">
      <w:rPr>
        <w:rFonts w:cs="Arial"/>
        <w:noProof/>
        <w:snapToGrid w:val="0"/>
        <w:color w:val="000000"/>
        <w:sz w:val="16"/>
        <w:szCs w:val="16"/>
      </w:rPr>
      <w:t xml:space="preserve"> SGM 2803-A</w:t>
    </w:r>
    <w:r w:rsidR="007C00A1" w:rsidRPr="007C00A1">
      <w:rPr>
        <w:rFonts w:cs="Arial"/>
        <w:noProof/>
        <w:sz w:val="16"/>
        <w:szCs w:val="16"/>
      </w:rPr>
      <w:t xml:space="preserve"> P2024</w:t>
    </w:r>
    <w:r w:rsidR="007C00A1">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67108C01"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E5AD860" w:rsidR="00F75C81" w:rsidRPr="00AA1E6A" w:rsidRDefault="00C36B72" w:rsidP="00806A1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FF590C1"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C00A1" w:rsidRPr="007C00A1">
      <w:rPr>
        <w:rFonts w:cs="Arial"/>
        <w:noProof/>
        <w:sz w:val="16"/>
        <w:szCs w:val="16"/>
      </w:rPr>
      <w:t>Firdapse</w:t>
    </w:r>
    <w:r w:rsidR="007C00A1">
      <w:rPr>
        <w:rFonts w:cs="Arial"/>
        <w:noProof/>
        <w:snapToGrid w:val="0"/>
        <w:color w:val="000000"/>
        <w:sz w:val="16"/>
        <w:szCs w:val="16"/>
      </w:rPr>
      <w:t xml:space="preserve"> SGM 2803-A</w:t>
    </w:r>
    <w:r w:rsidR="007C00A1" w:rsidRPr="007C00A1">
      <w:rPr>
        <w:rFonts w:cs="Arial"/>
        <w:noProof/>
        <w:sz w:val="16"/>
        <w:szCs w:val="16"/>
      </w:rPr>
      <w:t xml:space="preserve"> P2024</w:t>
    </w:r>
    <w:r w:rsidR="007C00A1">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3F6028F8"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DBB5A72" w:rsidR="00ED04EC" w:rsidRPr="00F50D98" w:rsidRDefault="00F50D98" w:rsidP="00806A1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4C674" w14:textId="77777777" w:rsidR="00C564C2" w:rsidRDefault="00C564C2">
      <w:r>
        <w:separator/>
      </w:r>
    </w:p>
  </w:footnote>
  <w:footnote w:type="continuationSeparator" w:id="0">
    <w:p w14:paraId="46BBB335" w14:textId="77777777" w:rsidR="00C564C2" w:rsidRDefault="00C564C2">
      <w:r>
        <w:continuationSeparator/>
      </w:r>
    </w:p>
  </w:footnote>
  <w:footnote w:type="continuationNotice" w:id="1">
    <w:p w14:paraId="33E19663" w14:textId="77777777" w:rsidR="00C564C2" w:rsidRDefault="00C564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9D792D">
          <w:pPr>
            <w:pStyle w:val="RefTableData"/>
          </w:pPr>
          <w:r w:rsidRPr="00AA1E6A">
            <w:t>Reference number(s)</w:t>
          </w:r>
        </w:p>
      </w:tc>
    </w:tr>
    <w:tr w:rsidR="00ED04EC" w:rsidRPr="00ED04EC" w14:paraId="703C6588" w14:textId="53FC1C5E">
      <w:trPr>
        <w:trHeight w:val="378"/>
        <w:jc w:val="right"/>
      </w:trPr>
      <w:tc>
        <w:tcPr>
          <w:tcW w:w="1854" w:type="dxa"/>
          <w:hideMark/>
        </w:tcPr>
        <w:p w14:paraId="51CE3E64" w14:textId="7EB7F81E" w:rsidR="00ED04EC" w:rsidRPr="009D792D" w:rsidRDefault="009D792D" w:rsidP="009D792D">
          <w:pPr>
            <w:pStyle w:val="RefTableHeader"/>
            <w:rPr>
              <w:rFonts w:ascii="Arial" w:hAnsi="Arial"/>
            </w:rPr>
          </w:pPr>
          <w:r w:rsidRPr="009D792D">
            <w:t>2803-A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3135B"/>
    <w:multiLevelType w:val="hybridMultilevel"/>
    <w:tmpl w:val="D35E5ED6"/>
    <w:lvl w:ilvl="0" w:tplc="04090015">
      <w:start w:val="1"/>
      <w:numFmt w:val="upperLetter"/>
      <w:lvlText w:val="%1."/>
      <w:lvlJc w:val="left"/>
      <w:pPr>
        <w:ind w:left="60" w:hanging="360"/>
      </w:pPr>
      <w:rPr>
        <w:rFonts w:hint="default"/>
        <w:vertAlign w:val="baseline"/>
      </w:rPr>
    </w:lvl>
    <w:lvl w:ilvl="1" w:tplc="04090019" w:tentative="1">
      <w:start w:val="1"/>
      <w:numFmt w:val="lowerLetter"/>
      <w:lvlText w:val="%2."/>
      <w:lvlJc w:val="left"/>
      <w:pPr>
        <w:ind w:left="780" w:hanging="360"/>
      </w:pPr>
    </w:lvl>
    <w:lvl w:ilvl="2" w:tplc="0409001B" w:tentative="1">
      <w:start w:val="1"/>
      <w:numFmt w:val="lowerRoman"/>
      <w:lvlText w:val="%3."/>
      <w:lvlJc w:val="right"/>
      <w:pPr>
        <w:ind w:left="1500" w:hanging="180"/>
      </w:pPr>
    </w:lvl>
    <w:lvl w:ilvl="3" w:tplc="0409000F" w:tentative="1">
      <w:start w:val="1"/>
      <w:numFmt w:val="decimal"/>
      <w:lvlText w:val="%4."/>
      <w:lvlJc w:val="left"/>
      <w:pPr>
        <w:ind w:left="2220" w:hanging="360"/>
      </w:pPr>
    </w:lvl>
    <w:lvl w:ilvl="4" w:tplc="04090019" w:tentative="1">
      <w:start w:val="1"/>
      <w:numFmt w:val="lowerLetter"/>
      <w:lvlText w:val="%5."/>
      <w:lvlJc w:val="left"/>
      <w:pPr>
        <w:ind w:left="2940" w:hanging="360"/>
      </w:pPr>
    </w:lvl>
    <w:lvl w:ilvl="5" w:tplc="0409001B" w:tentative="1">
      <w:start w:val="1"/>
      <w:numFmt w:val="lowerRoman"/>
      <w:lvlText w:val="%6."/>
      <w:lvlJc w:val="right"/>
      <w:pPr>
        <w:ind w:left="3660" w:hanging="180"/>
      </w:pPr>
    </w:lvl>
    <w:lvl w:ilvl="6" w:tplc="0409000F" w:tentative="1">
      <w:start w:val="1"/>
      <w:numFmt w:val="decimal"/>
      <w:lvlText w:val="%7."/>
      <w:lvlJc w:val="left"/>
      <w:pPr>
        <w:ind w:left="4380" w:hanging="360"/>
      </w:pPr>
    </w:lvl>
    <w:lvl w:ilvl="7" w:tplc="04090019" w:tentative="1">
      <w:start w:val="1"/>
      <w:numFmt w:val="lowerLetter"/>
      <w:lvlText w:val="%8."/>
      <w:lvlJc w:val="left"/>
      <w:pPr>
        <w:ind w:left="5100" w:hanging="360"/>
      </w:pPr>
    </w:lvl>
    <w:lvl w:ilvl="8" w:tplc="0409001B" w:tentative="1">
      <w:start w:val="1"/>
      <w:numFmt w:val="lowerRoman"/>
      <w:lvlText w:val="%9."/>
      <w:lvlJc w:val="right"/>
      <w:pPr>
        <w:ind w:left="5820" w:hanging="180"/>
      </w:pPr>
    </w:lvl>
  </w:abstractNum>
  <w:abstractNum w:abstractNumId="11"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6280636"/>
    <w:multiLevelType w:val="hybridMultilevel"/>
    <w:tmpl w:val="3D7C1046"/>
    <w:lvl w:ilvl="0" w:tplc="9D16F11A">
      <w:start w:val="1"/>
      <w:numFmt w:val="upperLetter"/>
      <w:lvlText w:val="%1."/>
      <w:lvlJc w:val="left"/>
      <w:pPr>
        <w:ind w:left="1080" w:hanging="360"/>
      </w:pPr>
      <w:rPr>
        <w:rFonts w:ascii="Arial" w:eastAsia="Times New Roman" w:hAnsi="Arial" w:cs="Arial"/>
        <w:color w:val="auto"/>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B4A820D8">
      <w:start w:val="1"/>
      <w:numFmt w:val="decimal"/>
      <w:lvlText w:val="%4."/>
      <w:lvlJc w:val="left"/>
      <w:pPr>
        <w:ind w:left="1440" w:hanging="360"/>
      </w:pPr>
      <w:rPr>
        <w:rFonts w:ascii="Arial" w:eastAsia="Times New Roman" w:hAnsi="Arial" w:cs="Arial"/>
      </w:rPr>
    </w:lvl>
    <w:lvl w:ilvl="4" w:tplc="04090019">
      <w:start w:val="1"/>
      <w:numFmt w:val="lowerLetter"/>
      <w:lvlText w:val="%5."/>
      <w:lvlJc w:val="left"/>
      <w:pPr>
        <w:ind w:left="1800" w:hanging="360"/>
      </w:pPr>
    </w:lvl>
    <w:lvl w:ilvl="5" w:tplc="0409001B">
      <w:start w:val="1"/>
      <w:numFmt w:val="lowerRoman"/>
      <w:lvlText w:val="%6."/>
      <w:lvlJc w:val="right"/>
      <w:pPr>
        <w:ind w:left="216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2"/>
  </w:num>
  <w:num w:numId="16" w16cid:durableId="898320195">
    <w:abstractNumId w:val="19"/>
  </w:num>
  <w:num w:numId="17" w16cid:durableId="2128498676">
    <w:abstractNumId w:val="28"/>
  </w:num>
  <w:num w:numId="18" w16cid:durableId="299724409">
    <w:abstractNumId w:val="23"/>
  </w:num>
  <w:num w:numId="19" w16cid:durableId="214585573">
    <w:abstractNumId w:val="15"/>
  </w:num>
  <w:num w:numId="20" w16cid:durableId="1289816170">
    <w:abstractNumId w:val="16"/>
  </w:num>
  <w:num w:numId="21" w16cid:durableId="1066490929">
    <w:abstractNumId w:val="29"/>
  </w:num>
  <w:num w:numId="22" w16cid:durableId="1472481103">
    <w:abstractNumId w:val="25"/>
  </w:num>
  <w:num w:numId="23" w16cid:durableId="1997420403">
    <w:abstractNumId w:val="27"/>
  </w:num>
  <w:num w:numId="24" w16cid:durableId="33312838">
    <w:abstractNumId w:val="24"/>
  </w:num>
  <w:num w:numId="25" w16cid:durableId="507404939">
    <w:abstractNumId w:val="18"/>
  </w:num>
  <w:num w:numId="26" w16cid:durableId="1950313333">
    <w:abstractNumId w:val="21"/>
  </w:num>
  <w:num w:numId="27" w16cid:durableId="1866016584">
    <w:abstractNumId w:val="20"/>
  </w:num>
  <w:num w:numId="28" w16cid:durableId="1932425176">
    <w:abstractNumId w:val="10"/>
  </w:num>
  <w:num w:numId="29" w16cid:durableId="1599101717">
    <w:abstractNumId w:val="17"/>
  </w:num>
  <w:num w:numId="30" w16cid:durableId="1893735770">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3C1E"/>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358B"/>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5E32"/>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2E8D"/>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8B0"/>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7E2"/>
    <w:rsid w:val="00255903"/>
    <w:rsid w:val="002568ED"/>
    <w:rsid w:val="00260902"/>
    <w:rsid w:val="00260A91"/>
    <w:rsid w:val="00261738"/>
    <w:rsid w:val="00261F81"/>
    <w:rsid w:val="0026235F"/>
    <w:rsid w:val="00262630"/>
    <w:rsid w:val="00262CE0"/>
    <w:rsid w:val="0026318E"/>
    <w:rsid w:val="00263D81"/>
    <w:rsid w:val="00264713"/>
    <w:rsid w:val="00264B6E"/>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3AF"/>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5DBA"/>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60C"/>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801"/>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192"/>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00A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6A13"/>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27C2A"/>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823"/>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4F64"/>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3B2B"/>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6F60"/>
    <w:rsid w:val="009C7D3E"/>
    <w:rsid w:val="009D0B0C"/>
    <w:rsid w:val="009D0C37"/>
    <w:rsid w:val="009D2D63"/>
    <w:rsid w:val="009D56AA"/>
    <w:rsid w:val="009D60F4"/>
    <w:rsid w:val="009D6686"/>
    <w:rsid w:val="009D6C0F"/>
    <w:rsid w:val="009D6D3D"/>
    <w:rsid w:val="009D7037"/>
    <w:rsid w:val="009D71AB"/>
    <w:rsid w:val="009D72AF"/>
    <w:rsid w:val="009D747A"/>
    <w:rsid w:val="009D7595"/>
    <w:rsid w:val="009D7679"/>
    <w:rsid w:val="009D792D"/>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29B"/>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843"/>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478"/>
    <w:rsid w:val="00BB3604"/>
    <w:rsid w:val="00BB379D"/>
    <w:rsid w:val="00BB3F6D"/>
    <w:rsid w:val="00BB4131"/>
    <w:rsid w:val="00BB5B7E"/>
    <w:rsid w:val="00BB6239"/>
    <w:rsid w:val="00BB6FE9"/>
    <w:rsid w:val="00BC02EF"/>
    <w:rsid w:val="00BC2111"/>
    <w:rsid w:val="00BC2848"/>
    <w:rsid w:val="00BC297D"/>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64C2"/>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4E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36CC7"/>
    <w:rsid w:val="00D400AE"/>
    <w:rsid w:val="00D40197"/>
    <w:rsid w:val="00D40716"/>
    <w:rsid w:val="00D40A9C"/>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6C9"/>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BC1"/>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4F7D"/>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purl.org/dc/terms/"/>
    <ds:schemaRef ds:uri="http://schemas.openxmlformats.org/package/2006/metadata/core-properties"/>
    <ds:schemaRef ds:uri="ce173f13-e3a2-4c5f-8c54-d0382ae88016"/>
    <ds:schemaRef ds:uri="http://schemas.microsoft.com/office/2006/documentManagement/types"/>
    <ds:schemaRef ds:uri="http://schemas.microsoft.com/office/infopath/2007/PartnerControls"/>
    <ds:schemaRef ds:uri="http://purl.org/dc/elements/1.1/"/>
    <ds:schemaRef ds:uri="http://schemas.microsoft.com/office/2006/metadata/properties"/>
    <ds:schemaRef ds:uri="102fadf2-6cae-45bc-95f6-bc2613b98572"/>
    <ds:schemaRef ds:uri="http://www.w3.org/XML/1998/namespace"/>
    <ds:schemaRef ds:uri="http://purl.org/dc/dcmitype/"/>
  </ds:schemaRefs>
</ds:datastoreItem>
</file>

<file path=customXml/itemProps4.xml><?xml version="1.0" encoding="utf-8"?>
<ds:datastoreItem xmlns:ds="http://schemas.openxmlformats.org/officeDocument/2006/customXml" ds:itemID="{8B51A1C6-FEAB-440C-B9AE-225415E4C4FF}"/>
</file>

<file path=docProps/app.xml><?xml version="1.0" encoding="utf-8"?>
<Properties xmlns="http://schemas.openxmlformats.org/officeDocument/2006/extended-properties" xmlns:vt="http://schemas.openxmlformats.org/officeDocument/2006/docPropsVTypes">
  <Template>Normal.dotm</Template>
  <TotalTime>169</TotalTime>
  <Pages>2</Pages>
  <Words>357</Words>
  <Characters>2176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Firdapse SGM 2803-A 2024</vt:lpstr>
    </vt:vector>
  </TitlesOfParts>
  <Company>PCS Health Systems</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Firdapse SGM 2803-A 2024</dc:title>
  <dc:subject/>
  <dc:creator>CVS Caremark</dc:creator>
  <cp:keywords/>
  <cp:lastModifiedBy>Pan, Stacey J</cp:lastModifiedBy>
  <cp:revision>17</cp:revision>
  <cp:lastPrinted>2018-01-09T11:01:00Z</cp:lastPrinted>
  <dcterms:created xsi:type="dcterms:W3CDTF">2024-08-20T07:45:00Z</dcterms:created>
  <dcterms:modified xsi:type="dcterms:W3CDTF">2024-10-31T17:10:00Z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1762000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